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0C" w:rsidRPr="00C9490C" w:rsidRDefault="00C9490C" w:rsidP="00507067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b/>
          <w:color w:val="282828"/>
          <w:sz w:val="32"/>
          <w:szCs w:val="24"/>
        </w:rPr>
      </w:pPr>
      <w:r>
        <w:rPr>
          <w:rFonts w:ascii="Lato" w:hAnsi="Lato" w:cs="Lato"/>
          <w:noProof/>
          <w:color w:val="282828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90BD59C" wp14:editId="260E650A">
            <wp:simplePos x="0" y="0"/>
            <wp:positionH relativeFrom="column">
              <wp:posOffset>5256530</wp:posOffset>
            </wp:positionH>
            <wp:positionV relativeFrom="paragraph">
              <wp:posOffset>-781685</wp:posOffset>
            </wp:positionV>
            <wp:extent cx="1259205" cy="609600"/>
            <wp:effectExtent l="0" t="0" r="0" b="0"/>
            <wp:wrapNone/>
            <wp:docPr id="4" name="Picture 4" descr="Yorkshire and the Humber Clinical Net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shire and the Humber Clinical Networ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90C" w:rsidRPr="00C9490C" w:rsidRDefault="00C679D3" w:rsidP="00C94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82828"/>
          <w:sz w:val="28"/>
          <w:szCs w:val="24"/>
        </w:rPr>
      </w:pPr>
      <w:r>
        <w:rPr>
          <w:rFonts w:ascii="Arial" w:hAnsi="Arial" w:cs="Arial"/>
          <w:b/>
          <w:color w:val="282828"/>
          <w:sz w:val="28"/>
          <w:szCs w:val="24"/>
        </w:rPr>
        <w:t>Recommendations</w:t>
      </w:r>
      <w:bookmarkStart w:id="0" w:name="_GoBack"/>
      <w:bookmarkEnd w:id="0"/>
      <w:r>
        <w:rPr>
          <w:rFonts w:ascii="Arial" w:hAnsi="Arial" w:cs="Arial"/>
          <w:b/>
          <w:color w:val="282828"/>
          <w:sz w:val="28"/>
          <w:szCs w:val="24"/>
        </w:rPr>
        <w:t xml:space="preserve"> for: </w:t>
      </w:r>
      <w:r w:rsidR="00C9490C" w:rsidRPr="00C9490C">
        <w:rPr>
          <w:rFonts w:ascii="Arial" w:hAnsi="Arial" w:cs="Arial"/>
          <w:b/>
          <w:color w:val="282828"/>
          <w:sz w:val="28"/>
          <w:szCs w:val="24"/>
        </w:rPr>
        <w:t xml:space="preserve">Young people who are discharged from Children’s Services and do not meet </w:t>
      </w:r>
      <w:r w:rsidR="00C9490C">
        <w:rPr>
          <w:rFonts w:ascii="Arial" w:hAnsi="Arial" w:cs="Arial"/>
          <w:b/>
          <w:color w:val="282828"/>
          <w:sz w:val="28"/>
          <w:szCs w:val="24"/>
        </w:rPr>
        <w:t xml:space="preserve">the </w:t>
      </w:r>
      <w:r w:rsidR="00C9490C" w:rsidRPr="00C9490C">
        <w:rPr>
          <w:rFonts w:ascii="Arial" w:hAnsi="Arial" w:cs="Arial"/>
          <w:b/>
          <w:color w:val="282828"/>
          <w:sz w:val="28"/>
          <w:szCs w:val="24"/>
        </w:rPr>
        <w:t>criteria for Adult services</w:t>
      </w:r>
    </w:p>
    <w:p w:rsidR="00C9490C" w:rsidRDefault="00C9490C" w:rsidP="00507067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</w:p>
    <w:p w:rsidR="00C903FE" w:rsidRDefault="00C903FE" w:rsidP="00507067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  <w:r>
        <w:rPr>
          <w:rFonts w:ascii="Lato" w:hAnsi="Lato" w:cs="Lato"/>
          <w:color w:val="282828"/>
          <w:sz w:val="24"/>
          <w:szCs w:val="24"/>
        </w:rPr>
        <w:t>Not all children and young people (CYP) who are discharged from children’s service</w:t>
      </w:r>
      <w:r w:rsidR="00AA208A">
        <w:rPr>
          <w:rFonts w:ascii="Lato" w:hAnsi="Lato" w:cs="Lato"/>
          <w:color w:val="282828"/>
          <w:sz w:val="24"/>
          <w:szCs w:val="24"/>
        </w:rPr>
        <w:t>s</w:t>
      </w:r>
      <w:r>
        <w:rPr>
          <w:rFonts w:ascii="Lato" w:hAnsi="Lato" w:cs="Lato"/>
          <w:color w:val="282828"/>
          <w:sz w:val="24"/>
          <w:szCs w:val="24"/>
        </w:rPr>
        <w:t xml:space="preserve"> have an identified adult service to move on to.  There are many areas particularly for children with complex </w:t>
      </w:r>
      <w:r w:rsidR="00C9490C">
        <w:rPr>
          <w:rFonts w:ascii="Lato" w:hAnsi="Lato" w:cs="Lato"/>
          <w:color w:val="282828"/>
          <w:sz w:val="24"/>
          <w:szCs w:val="24"/>
        </w:rPr>
        <w:t>needs,</w:t>
      </w:r>
      <w:r>
        <w:rPr>
          <w:rFonts w:ascii="Lato" w:hAnsi="Lato" w:cs="Lato"/>
          <w:color w:val="282828"/>
          <w:sz w:val="24"/>
          <w:szCs w:val="24"/>
        </w:rPr>
        <w:t xml:space="preserve"> neurodisability and mental health where gaps exist in provision or CYP are not eligible for the adult services.</w:t>
      </w:r>
    </w:p>
    <w:p w:rsidR="00C903FE" w:rsidRDefault="00C903FE" w:rsidP="00507067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</w:p>
    <w:p w:rsidR="00370CF8" w:rsidRDefault="00C903FE" w:rsidP="00370CF8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  <w:r>
        <w:rPr>
          <w:rFonts w:ascii="Lato" w:hAnsi="Lato" w:cs="Lato"/>
          <w:color w:val="282828"/>
          <w:sz w:val="24"/>
          <w:szCs w:val="24"/>
        </w:rPr>
        <w:t>Services must take this into consideration;</w:t>
      </w:r>
      <w:r w:rsidR="00C9490C">
        <w:rPr>
          <w:rFonts w:ascii="Lato" w:hAnsi="Lato" w:cs="Lato"/>
          <w:color w:val="282828"/>
          <w:sz w:val="24"/>
          <w:szCs w:val="24"/>
        </w:rPr>
        <w:t xml:space="preserve"> identify these CYP, </w:t>
      </w:r>
      <w:r>
        <w:rPr>
          <w:rFonts w:ascii="Lato" w:hAnsi="Lato" w:cs="Lato"/>
          <w:color w:val="282828"/>
          <w:sz w:val="24"/>
          <w:szCs w:val="24"/>
        </w:rPr>
        <w:t>the gaps in provision and work together</w:t>
      </w:r>
      <w:r w:rsidR="00370CF8">
        <w:rPr>
          <w:rFonts w:ascii="Lato" w:hAnsi="Lato" w:cs="Lato"/>
          <w:color w:val="282828"/>
          <w:sz w:val="24"/>
          <w:szCs w:val="24"/>
        </w:rPr>
        <w:t xml:space="preserve"> across providers and commissioning</w:t>
      </w:r>
      <w:r>
        <w:rPr>
          <w:rFonts w:ascii="Lato" w:hAnsi="Lato" w:cs="Lato"/>
          <w:color w:val="282828"/>
          <w:sz w:val="24"/>
          <w:szCs w:val="24"/>
        </w:rPr>
        <w:t xml:space="preserve"> to </w:t>
      </w:r>
      <w:r w:rsidR="00507067">
        <w:rPr>
          <w:rFonts w:ascii="Lato" w:hAnsi="Lato" w:cs="Lato"/>
          <w:color w:val="282828"/>
          <w:sz w:val="24"/>
          <w:szCs w:val="24"/>
        </w:rPr>
        <w:t>respond to the</w:t>
      </w:r>
      <w:r w:rsidR="00C9490C">
        <w:rPr>
          <w:rFonts w:ascii="Lato" w:hAnsi="Lato" w:cs="Lato"/>
          <w:color w:val="282828"/>
          <w:sz w:val="24"/>
          <w:szCs w:val="24"/>
        </w:rPr>
        <w:t>ir needs</w:t>
      </w:r>
      <w:proofErr w:type="gramStart"/>
      <w:r w:rsidR="00C9490C">
        <w:rPr>
          <w:rFonts w:ascii="Lato" w:hAnsi="Lato" w:cs="Lato"/>
          <w:color w:val="282828"/>
          <w:sz w:val="24"/>
          <w:szCs w:val="24"/>
        </w:rPr>
        <w:t>.</w:t>
      </w:r>
      <w:r w:rsidR="00370CF8">
        <w:rPr>
          <w:rFonts w:ascii="Lato" w:hAnsi="Lato" w:cs="Lato"/>
          <w:color w:val="282828"/>
          <w:sz w:val="24"/>
          <w:szCs w:val="24"/>
        </w:rPr>
        <w:t>.</w:t>
      </w:r>
      <w:proofErr w:type="gramEnd"/>
      <w:r w:rsidR="00AA208A">
        <w:rPr>
          <w:rStyle w:val="FootnoteReference"/>
          <w:rFonts w:ascii="Lato" w:hAnsi="Lato" w:cs="Lato"/>
          <w:color w:val="282828"/>
          <w:sz w:val="24"/>
          <w:szCs w:val="24"/>
        </w:rPr>
        <w:footnoteReference w:id="1"/>
      </w:r>
      <w:r w:rsidR="00370CF8">
        <w:rPr>
          <w:rFonts w:ascii="Lato" w:hAnsi="Lato" w:cs="Lato"/>
          <w:color w:val="282828"/>
          <w:sz w:val="24"/>
          <w:szCs w:val="24"/>
        </w:rPr>
        <w:t xml:space="preserve">  </w:t>
      </w:r>
    </w:p>
    <w:p w:rsidR="00370CF8" w:rsidRDefault="00370CF8" w:rsidP="00370CF8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</w:p>
    <w:p w:rsidR="00C9490C" w:rsidRDefault="00C9490C" w:rsidP="00370CF8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  <w:u w:val="single"/>
        </w:rPr>
      </w:pPr>
    </w:p>
    <w:p w:rsidR="00AA208A" w:rsidRDefault="00AA208A" w:rsidP="00370CF8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  <w:u w:val="single"/>
        </w:rPr>
      </w:pPr>
      <w:r w:rsidRPr="00F44C32">
        <w:rPr>
          <w:rFonts w:ascii="Lato" w:hAnsi="Lato" w:cs="Lato"/>
          <w:color w:val="282828"/>
          <w:sz w:val="24"/>
          <w:szCs w:val="24"/>
          <w:u w:val="single"/>
        </w:rPr>
        <w:t>Key recommendations for supporting these young people:</w:t>
      </w:r>
    </w:p>
    <w:p w:rsidR="00C9490C" w:rsidRPr="00F44C32" w:rsidRDefault="00C9490C" w:rsidP="00370CF8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  <w:u w:val="single"/>
        </w:rPr>
      </w:pPr>
    </w:p>
    <w:p w:rsidR="00AA208A" w:rsidRPr="00C9490C" w:rsidRDefault="00AA208A" w:rsidP="00370CF8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16"/>
          <w:szCs w:val="24"/>
        </w:rPr>
      </w:pPr>
    </w:p>
    <w:p w:rsidR="00C9490C" w:rsidRDefault="00C9490C" w:rsidP="00C949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  <w:r w:rsidRPr="00370CF8">
        <w:rPr>
          <w:rFonts w:ascii="Lato" w:hAnsi="Lato" w:cs="Lato"/>
          <w:color w:val="282828"/>
          <w:sz w:val="24"/>
          <w:szCs w:val="24"/>
        </w:rPr>
        <w:t>Include young people who don't meet eligibility criteria for support from adults'</w:t>
      </w:r>
      <w:r>
        <w:rPr>
          <w:rFonts w:ascii="Lato" w:hAnsi="Lato" w:cs="Lato"/>
          <w:color w:val="282828"/>
          <w:sz w:val="24"/>
          <w:szCs w:val="24"/>
        </w:rPr>
        <w:t xml:space="preserve"> s</w:t>
      </w:r>
      <w:r w:rsidRPr="00AA208A">
        <w:rPr>
          <w:rFonts w:ascii="Lato" w:hAnsi="Lato" w:cs="Lato"/>
          <w:color w:val="282828"/>
          <w:sz w:val="24"/>
          <w:szCs w:val="24"/>
        </w:rPr>
        <w:t>ervices and those for whom services are not available for another reason</w:t>
      </w:r>
      <w:r>
        <w:rPr>
          <w:rStyle w:val="FootnoteReference"/>
          <w:rFonts w:ascii="Lato" w:hAnsi="Lato" w:cs="Lato"/>
          <w:color w:val="282828"/>
          <w:sz w:val="24"/>
          <w:szCs w:val="24"/>
        </w:rPr>
        <w:footnoteReference w:id="2"/>
      </w:r>
    </w:p>
    <w:p w:rsidR="00C9490C" w:rsidRPr="00C9490C" w:rsidRDefault="00C9490C" w:rsidP="00C9490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Lato" w:hAnsi="Lato" w:cs="Lato"/>
          <w:color w:val="282828"/>
          <w:sz w:val="16"/>
          <w:szCs w:val="24"/>
        </w:rPr>
      </w:pPr>
    </w:p>
    <w:p w:rsidR="00AA208A" w:rsidRDefault="00AA208A" w:rsidP="00507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  <w:r>
        <w:rPr>
          <w:rFonts w:ascii="Lato" w:hAnsi="Lato" w:cs="Lato"/>
          <w:color w:val="282828"/>
          <w:sz w:val="24"/>
          <w:szCs w:val="24"/>
        </w:rPr>
        <w:t>All young people should have a transition plan</w:t>
      </w:r>
      <w:r w:rsidR="00F44C32">
        <w:rPr>
          <w:rFonts w:ascii="Lato" w:hAnsi="Lato" w:cs="Lato"/>
          <w:color w:val="282828"/>
          <w:sz w:val="24"/>
          <w:szCs w:val="24"/>
        </w:rPr>
        <w:t xml:space="preserve"> in place (</w:t>
      </w:r>
      <w:r>
        <w:rPr>
          <w:rFonts w:ascii="Lato" w:hAnsi="Lato" w:cs="Lato"/>
          <w:color w:val="282828"/>
          <w:sz w:val="24"/>
          <w:szCs w:val="24"/>
        </w:rPr>
        <w:t>even if they are not moving on to an adult service</w:t>
      </w:r>
      <w:r w:rsidR="00F44C32">
        <w:rPr>
          <w:rFonts w:ascii="Lato" w:hAnsi="Lato" w:cs="Lato"/>
          <w:color w:val="282828"/>
          <w:sz w:val="24"/>
          <w:szCs w:val="24"/>
        </w:rPr>
        <w:t>) that clearly identifies there ongoing needs and support after leaving children’s services.</w:t>
      </w:r>
    </w:p>
    <w:p w:rsidR="00F44C32" w:rsidRPr="00C9490C" w:rsidRDefault="00F44C32" w:rsidP="00F44C32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16"/>
          <w:szCs w:val="24"/>
        </w:rPr>
      </w:pPr>
    </w:p>
    <w:p w:rsidR="00AA208A" w:rsidRDefault="00F44C32" w:rsidP="00507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  <w:r>
        <w:rPr>
          <w:rFonts w:ascii="Lato" w:hAnsi="Lato" w:cs="Lato"/>
          <w:color w:val="282828"/>
          <w:sz w:val="24"/>
          <w:szCs w:val="24"/>
        </w:rPr>
        <w:t>CYP should have a clear understanding of the</w:t>
      </w:r>
      <w:r w:rsidR="00C9490C">
        <w:rPr>
          <w:rFonts w:ascii="Lato" w:hAnsi="Lato" w:cs="Lato"/>
          <w:color w:val="282828"/>
          <w:sz w:val="24"/>
          <w:szCs w:val="24"/>
        </w:rPr>
        <w:t>ir</w:t>
      </w:r>
      <w:r>
        <w:rPr>
          <w:rFonts w:ascii="Lato" w:hAnsi="Lato" w:cs="Lato"/>
          <w:color w:val="282828"/>
          <w:sz w:val="24"/>
          <w:szCs w:val="24"/>
        </w:rPr>
        <w:t xml:space="preserve"> health needs and be able to explain these to other professions, carers etc... that may support them in the future.</w:t>
      </w:r>
    </w:p>
    <w:p w:rsidR="00F44C32" w:rsidRPr="00C9490C" w:rsidRDefault="00F44C32" w:rsidP="00F44C32">
      <w:pPr>
        <w:pStyle w:val="ListParagraph"/>
        <w:rPr>
          <w:rFonts w:ascii="Lato" w:hAnsi="Lato" w:cs="Lato"/>
          <w:color w:val="282828"/>
          <w:sz w:val="16"/>
          <w:szCs w:val="24"/>
        </w:rPr>
      </w:pPr>
    </w:p>
    <w:p w:rsidR="00F44C32" w:rsidRDefault="00F44C32" w:rsidP="00507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  <w:r>
        <w:rPr>
          <w:rFonts w:ascii="Lato" w:hAnsi="Lato" w:cs="Lato"/>
          <w:color w:val="282828"/>
          <w:sz w:val="24"/>
          <w:szCs w:val="24"/>
        </w:rPr>
        <w:t>During the transition process CYP should be aware, have access to and be confident to use a variety of self-management methods to support their health needs.</w:t>
      </w:r>
    </w:p>
    <w:p w:rsidR="00F44C32" w:rsidRPr="00C9490C" w:rsidRDefault="00F44C32" w:rsidP="00F44C32">
      <w:pPr>
        <w:pStyle w:val="ListParagraph"/>
        <w:rPr>
          <w:rFonts w:ascii="Lato" w:hAnsi="Lato" w:cs="Lato"/>
          <w:color w:val="282828"/>
          <w:sz w:val="16"/>
          <w:szCs w:val="24"/>
        </w:rPr>
      </w:pPr>
    </w:p>
    <w:p w:rsidR="00F44C32" w:rsidRDefault="00F44C32" w:rsidP="00507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  <w:r>
        <w:rPr>
          <w:rFonts w:ascii="Lato" w:hAnsi="Lato" w:cs="Lato"/>
          <w:color w:val="282828"/>
          <w:sz w:val="24"/>
          <w:szCs w:val="24"/>
        </w:rPr>
        <w:t>Where appropriate service</w:t>
      </w:r>
      <w:r w:rsidR="00C9490C">
        <w:rPr>
          <w:rFonts w:ascii="Lato" w:hAnsi="Lato" w:cs="Lato"/>
          <w:color w:val="282828"/>
          <w:sz w:val="24"/>
          <w:szCs w:val="24"/>
        </w:rPr>
        <w:t>s</w:t>
      </w:r>
      <w:r>
        <w:rPr>
          <w:rFonts w:ascii="Lato" w:hAnsi="Lato" w:cs="Lato"/>
          <w:color w:val="282828"/>
          <w:sz w:val="24"/>
          <w:szCs w:val="24"/>
        </w:rPr>
        <w:t xml:space="preserve"> should work with parents/carers in order to support their CYP when discharged from children’s services and should be included in the transition process.</w:t>
      </w:r>
    </w:p>
    <w:p w:rsidR="00F44C32" w:rsidRPr="00C9490C" w:rsidRDefault="00F44C32" w:rsidP="00F44C32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16"/>
          <w:szCs w:val="24"/>
        </w:rPr>
      </w:pPr>
    </w:p>
    <w:p w:rsidR="00507067" w:rsidRDefault="00507067" w:rsidP="00507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  <w:r w:rsidRPr="00507067">
        <w:rPr>
          <w:rFonts w:ascii="Lato" w:hAnsi="Lato" w:cs="Lato"/>
          <w:color w:val="282828"/>
          <w:sz w:val="24"/>
          <w:szCs w:val="24"/>
        </w:rPr>
        <w:t>Ensure all young people have up-to-date information about the</w:t>
      </w:r>
      <w:r w:rsidRPr="00507067">
        <w:rPr>
          <w:rFonts w:ascii="Lato" w:hAnsi="Lato" w:cs="Lato"/>
          <w:color w:val="282828"/>
          <w:sz w:val="24"/>
          <w:szCs w:val="24"/>
        </w:rPr>
        <w:t xml:space="preserve"> full range of care and support </w:t>
      </w:r>
      <w:r w:rsidRPr="00507067">
        <w:rPr>
          <w:rFonts w:ascii="Lato" w:hAnsi="Lato" w:cs="Lato"/>
          <w:color w:val="282828"/>
          <w:sz w:val="24"/>
          <w:szCs w:val="24"/>
        </w:rPr>
        <w:t>available to them. This should include support from primary care and pharmacy services.</w:t>
      </w:r>
      <w:r>
        <w:rPr>
          <w:rStyle w:val="FootnoteReference"/>
          <w:rFonts w:ascii="Lato" w:hAnsi="Lato" w:cs="Lato"/>
          <w:color w:val="282828"/>
          <w:sz w:val="24"/>
          <w:szCs w:val="24"/>
        </w:rPr>
        <w:footnoteReference w:id="3"/>
      </w:r>
    </w:p>
    <w:p w:rsidR="00C9490C" w:rsidRPr="00C9490C" w:rsidRDefault="00C9490C" w:rsidP="00C9490C">
      <w:pPr>
        <w:pStyle w:val="ListParagraph"/>
        <w:rPr>
          <w:rFonts w:ascii="Lato" w:hAnsi="Lato" w:cs="Lato"/>
          <w:color w:val="282828"/>
          <w:sz w:val="16"/>
          <w:szCs w:val="24"/>
        </w:rPr>
      </w:pPr>
    </w:p>
    <w:p w:rsidR="00C9490C" w:rsidRPr="00C9490C" w:rsidRDefault="00C9490C" w:rsidP="00C949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  <w:r>
        <w:rPr>
          <w:rFonts w:ascii="Lato" w:hAnsi="Lato" w:cs="Lato"/>
          <w:color w:val="282828"/>
          <w:sz w:val="24"/>
          <w:szCs w:val="24"/>
        </w:rPr>
        <w:t>Ensure young people have a list of contacts where they may be able to access support.</w:t>
      </w:r>
    </w:p>
    <w:p w:rsidR="00507067" w:rsidRPr="00C9490C" w:rsidRDefault="00507067" w:rsidP="00507067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Lato" w:hAnsi="Lato" w:cs="Lato"/>
          <w:color w:val="282828"/>
          <w:sz w:val="16"/>
          <w:szCs w:val="24"/>
        </w:rPr>
      </w:pPr>
    </w:p>
    <w:p w:rsidR="00C9490C" w:rsidRDefault="00507067" w:rsidP="00C949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  <w:r w:rsidRPr="00507067">
        <w:rPr>
          <w:rFonts w:ascii="Lato" w:hAnsi="Lato" w:cs="Lato"/>
          <w:color w:val="282828"/>
          <w:sz w:val="24"/>
          <w:szCs w:val="24"/>
        </w:rPr>
        <w:t>Where there is no adult service for a young person to transfer to, or there is a risk they may not</w:t>
      </w:r>
      <w:r>
        <w:rPr>
          <w:rFonts w:ascii="Lato" w:hAnsi="Lato" w:cs="Lato"/>
          <w:color w:val="282828"/>
          <w:sz w:val="24"/>
          <w:szCs w:val="24"/>
        </w:rPr>
        <w:t xml:space="preserve"> </w:t>
      </w:r>
      <w:r w:rsidRPr="00507067">
        <w:rPr>
          <w:rFonts w:ascii="Lato" w:hAnsi="Lato" w:cs="Lato"/>
          <w:color w:val="282828"/>
          <w:sz w:val="24"/>
          <w:szCs w:val="24"/>
        </w:rPr>
        <w:t>engage with the adult service, ensure a detailed discharge letter is sent to their GP. Give the</w:t>
      </w:r>
      <w:r>
        <w:rPr>
          <w:rFonts w:ascii="Lato" w:hAnsi="Lato" w:cs="Lato"/>
          <w:color w:val="282828"/>
          <w:sz w:val="24"/>
          <w:szCs w:val="24"/>
        </w:rPr>
        <w:t xml:space="preserve"> </w:t>
      </w:r>
      <w:r w:rsidRPr="00507067">
        <w:rPr>
          <w:rFonts w:ascii="Lato" w:hAnsi="Lato" w:cs="Lato"/>
          <w:color w:val="282828"/>
          <w:sz w:val="24"/>
          <w:szCs w:val="24"/>
        </w:rPr>
        <w:t xml:space="preserve">young person information about known and trusted third sector organisations </w:t>
      </w:r>
      <w:r w:rsidR="00BF25AD" w:rsidRPr="00507067">
        <w:rPr>
          <w:rFonts w:ascii="Lato" w:hAnsi="Lato" w:cs="Lato"/>
          <w:color w:val="282828"/>
          <w:sz w:val="24"/>
          <w:szCs w:val="24"/>
        </w:rPr>
        <w:t>that</w:t>
      </w:r>
      <w:r w:rsidRPr="00507067">
        <w:rPr>
          <w:rFonts w:ascii="Lato" w:hAnsi="Lato" w:cs="Lato"/>
          <w:color w:val="282828"/>
          <w:sz w:val="24"/>
          <w:szCs w:val="24"/>
        </w:rPr>
        <w:t xml:space="preserve"> could</w:t>
      </w:r>
      <w:r>
        <w:rPr>
          <w:rFonts w:ascii="Lato" w:hAnsi="Lato" w:cs="Lato"/>
          <w:color w:val="282828"/>
          <w:sz w:val="24"/>
          <w:szCs w:val="24"/>
        </w:rPr>
        <w:t xml:space="preserve"> </w:t>
      </w:r>
      <w:r w:rsidRPr="00507067">
        <w:rPr>
          <w:rFonts w:ascii="Lato" w:hAnsi="Lato" w:cs="Lato"/>
          <w:color w:val="282828"/>
          <w:sz w:val="24"/>
          <w:szCs w:val="24"/>
        </w:rPr>
        <w:t>provide support.</w:t>
      </w:r>
      <w:r w:rsidR="00BF25AD">
        <w:rPr>
          <w:rStyle w:val="FootnoteReference"/>
          <w:rFonts w:ascii="Lato" w:hAnsi="Lato" w:cs="Lato"/>
          <w:color w:val="282828"/>
          <w:sz w:val="24"/>
          <w:szCs w:val="24"/>
        </w:rPr>
        <w:footnoteReference w:id="4"/>
      </w:r>
    </w:p>
    <w:p w:rsidR="00C9490C" w:rsidRPr="00C9490C" w:rsidRDefault="00C9490C" w:rsidP="00C9490C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16"/>
          <w:szCs w:val="24"/>
        </w:rPr>
      </w:pPr>
    </w:p>
    <w:p w:rsidR="00C9490C" w:rsidRPr="00C9490C" w:rsidRDefault="00C9490C" w:rsidP="00C9490C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82828"/>
          <w:sz w:val="24"/>
          <w:szCs w:val="24"/>
        </w:rPr>
      </w:pPr>
    </w:p>
    <w:sectPr w:rsidR="00C9490C" w:rsidRPr="00C9490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67" w:rsidRDefault="00507067" w:rsidP="00507067">
      <w:pPr>
        <w:spacing w:after="0" w:line="240" w:lineRule="auto"/>
      </w:pPr>
      <w:r>
        <w:separator/>
      </w:r>
    </w:p>
  </w:endnote>
  <w:endnote w:type="continuationSeparator" w:id="0">
    <w:p w:rsidR="00507067" w:rsidRDefault="00507067" w:rsidP="005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67" w:rsidRDefault="00507067" w:rsidP="00507067">
      <w:pPr>
        <w:spacing w:after="0" w:line="240" w:lineRule="auto"/>
      </w:pPr>
      <w:r>
        <w:separator/>
      </w:r>
    </w:p>
  </w:footnote>
  <w:footnote w:type="continuationSeparator" w:id="0">
    <w:p w:rsidR="00507067" w:rsidRDefault="00507067" w:rsidP="00507067">
      <w:pPr>
        <w:spacing w:after="0" w:line="240" w:lineRule="auto"/>
      </w:pPr>
      <w:r>
        <w:continuationSeparator/>
      </w:r>
    </w:p>
  </w:footnote>
  <w:footnote w:id="1">
    <w:p w:rsidR="00AA208A" w:rsidRDefault="00AA20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NICE Guideline:</w:t>
      </w:r>
      <w:r w:rsidRPr="00507067">
        <w:t xml:space="preserve"> Transition from children's to adults' services (NG43)</w:t>
      </w:r>
      <w:r>
        <w:t>.  2016</w:t>
      </w:r>
    </w:p>
  </w:footnote>
  <w:footnote w:id="2">
    <w:p w:rsidR="00C9490C" w:rsidRDefault="00C9490C" w:rsidP="00C9490C">
      <w:pPr>
        <w:pStyle w:val="FootnoteText"/>
      </w:pPr>
      <w:r>
        <w:rPr>
          <w:rStyle w:val="FootnoteReference"/>
        </w:rPr>
        <w:footnoteRef/>
      </w:r>
      <w:r>
        <w:t xml:space="preserve"> NICE Guideline:</w:t>
      </w:r>
      <w:r w:rsidRPr="00507067">
        <w:t xml:space="preserve"> Transition from children's to adults' services (NG43)</w:t>
      </w:r>
      <w:r>
        <w:t>.  2016</w:t>
      </w:r>
    </w:p>
  </w:footnote>
  <w:footnote w:id="3">
    <w:p w:rsidR="00507067" w:rsidRDefault="00507067">
      <w:pPr>
        <w:pStyle w:val="FootnoteText"/>
      </w:pPr>
      <w:r>
        <w:rPr>
          <w:rStyle w:val="FootnoteReference"/>
        </w:rPr>
        <w:footnoteRef/>
      </w:r>
      <w:r>
        <w:t xml:space="preserve"> NICE </w:t>
      </w:r>
      <w:r w:rsidR="007546DD">
        <w:t>Guideline:</w:t>
      </w:r>
      <w:r w:rsidR="007546DD" w:rsidRPr="00507067">
        <w:t xml:space="preserve"> Transition</w:t>
      </w:r>
      <w:r w:rsidRPr="00507067">
        <w:t xml:space="preserve"> from children's to adults' services (NG43)</w:t>
      </w:r>
      <w:r w:rsidR="007546DD">
        <w:t xml:space="preserve">.  </w:t>
      </w:r>
      <w:r w:rsidR="00BF25AD">
        <w:t>2016</w:t>
      </w:r>
    </w:p>
  </w:footnote>
  <w:footnote w:id="4">
    <w:p w:rsidR="00BF25AD" w:rsidRDefault="00BF25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NICE </w:t>
      </w:r>
      <w:r w:rsidR="007546DD">
        <w:t>Guideline:</w:t>
      </w:r>
      <w:r w:rsidR="007546DD" w:rsidRPr="00507067">
        <w:t xml:space="preserve"> Transition</w:t>
      </w:r>
      <w:r w:rsidRPr="00507067">
        <w:t xml:space="preserve"> from children's to adults' services (NG43)</w:t>
      </w:r>
      <w:r w:rsidR="007546DD">
        <w:t xml:space="preserve">.  </w:t>
      </w:r>
      <w:r>
        <w:t>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67" w:rsidRPr="00C9490C" w:rsidRDefault="00C9490C">
    <w:pPr>
      <w:pStyle w:val="Header"/>
      <w:rPr>
        <w:b/>
      </w:rPr>
    </w:pPr>
    <w:r w:rsidRPr="00C9490C">
      <w:rPr>
        <w:rFonts w:ascii="Arial" w:hAnsi="Arial" w:cs="Arial"/>
        <w:b/>
        <w:noProof/>
        <w:color w:val="282828"/>
        <w:sz w:val="18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08CD6F2C" wp14:editId="4C2E9192">
          <wp:simplePos x="0" y="0"/>
          <wp:positionH relativeFrom="column">
            <wp:posOffset>-828675</wp:posOffset>
          </wp:positionH>
          <wp:positionV relativeFrom="paragraph">
            <wp:posOffset>-350520</wp:posOffset>
          </wp:positionV>
          <wp:extent cx="1609725" cy="676910"/>
          <wp:effectExtent l="0" t="0" r="9525" b="8890"/>
          <wp:wrapNone/>
          <wp:docPr id="3" name="Picture 3" descr="stepping-stones-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pping-stones-log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43B"/>
    <w:multiLevelType w:val="hybridMultilevel"/>
    <w:tmpl w:val="A9B296A6"/>
    <w:lvl w:ilvl="0" w:tplc="039CCA7C">
      <w:numFmt w:val="bullet"/>
      <w:lvlText w:val="-"/>
      <w:lvlJc w:val="left"/>
      <w:pPr>
        <w:ind w:left="420" w:hanging="360"/>
      </w:pPr>
      <w:rPr>
        <w:rFonts w:ascii="Lato" w:eastAsiaTheme="minorHAnsi" w:hAnsi="Lato" w:cs="Lato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B4D56D4"/>
    <w:multiLevelType w:val="hybridMultilevel"/>
    <w:tmpl w:val="9292980E"/>
    <w:lvl w:ilvl="0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7"/>
    <w:rsid w:val="00370CF8"/>
    <w:rsid w:val="00377AF3"/>
    <w:rsid w:val="00507067"/>
    <w:rsid w:val="007546DD"/>
    <w:rsid w:val="00817FAE"/>
    <w:rsid w:val="00AA208A"/>
    <w:rsid w:val="00BF25AD"/>
    <w:rsid w:val="00C679D3"/>
    <w:rsid w:val="00C903FE"/>
    <w:rsid w:val="00C9490C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67"/>
  </w:style>
  <w:style w:type="paragraph" w:styleId="Footer">
    <w:name w:val="footer"/>
    <w:basedOn w:val="Normal"/>
    <w:link w:val="FooterChar"/>
    <w:uiPriority w:val="99"/>
    <w:unhideWhenUsed/>
    <w:rsid w:val="0050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67"/>
  </w:style>
  <w:style w:type="paragraph" w:styleId="ListParagraph">
    <w:name w:val="List Paragraph"/>
    <w:basedOn w:val="Normal"/>
    <w:uiPriority w:val="34"/>
    <w:qFormat/>
    <w:rsid w:val="005070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7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0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0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67"/>
  </w:style>
  <w:style w:type="paragraph" w:styleId="Footer">
    <w:name w:val="footer"/>
    <w:basedOn w:val="Normal"/>
    <w:link w:val="FooterChar"/>
    <w:uiPriority w:val="99"/>
    <w:unhideWhenUsed/>
    <w:rsid w:val="0050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67"/>
  </w:style>
  <w:style w:type="paragraph" w:styleId="ListParagraph">
    <w:name w:val="List Paragraph"/>
    <w:basedOn w:val="Normal"/>
    <w:uiPriority w:val="34"/>
    <w:qFormat/>
    <w:rsid w:val="005070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7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0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0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FC5D-F61A-43C6-A383-4F2FBF3E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Emmerline</dc:creator>
  <cp:lastModifiedBy>Irving, Emmerline</cp:lastModifiedBy>
  <cp:revision>2</cp:revision>
  <dcterms:created xsi:type="dcterms:W3CDTF">2016-06-13T10:08:00Z</dcterms:created>
  <dcterms:modified xsi:type="dcterms:W3CDTF">2016-06-13T10:08:00Z</dcterms:modified>
</cp:coreProperties>
</file>